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8E" w:rsidRPr="00760CA6" w:rsidRDefault="00F6068E" w:rsidP="00F6068E">
      <w:pPr>
        <w:pStyle w:val="Sumrio1"/>
        <w:spacing w:line="240" w:lineRule="auto"/>
        <w:rPr>
          <w:rFonts w:ascii="Arial" w:hAnsi="Arial" w:cs="Arial"/>
          <w:b/>
          <w:sz w:val="24"/>
          <w:szCs w:val="24"/>
        </w:rPr>
      </w:pPr>
      <w:r w:rsidRPr="00760CA6">
        <w:rPr>
          <w:rFonts w:ascii="Arial" w:hAnsi="Arial" w:cs="Arial"/>
          <w:b/>
          <w:sz w:val="24"/>
          <w:szCs w:val="24"/>
        </w:rPr>
        <w:t>XX - FRAUDE E CORRUPÇÃO</w:t>
      </w:r>
    </w:p>
    <w:p w:rsidR="00F6068E" w:rsidRPr="00760CA6" w:rsidRDefault="00F6068E" w:rsidP="00F6068E">
      <w:pPr>
        <w:pStyle w:val="Corpodetexto"/>
        <w:spacing w:line="240" w:lineRule="auto"/>
        <w:rPr>
          <w:rFonts w:ascii="Arial" w:hAnsi="Arial" w:cs="Arial"/>
          <w:szCs w:val="24"/>
        </w:rPr>
      </w:pPr>
      <w:proofErr w:type="gramStart"/>
      <w:r w:rsidRPr="00760CA6">
        <w:rPr>
          <w:rFonts w:ascii="Arial" w:hAnsi="Arial" w:cs="Arial"/>
          <w:szCs w:val="24"/>
        </w:rPr>
        <w:t>XX.</w:t>
      </w:r>
      <w:proofErr w:type="gramEnd"/>
      <w:r w:rsidRPr="00760CA6">
        <w:rPr>
          <w:rFonts w:ascii="Arial" w:hAnsi="Arial" w:cs="Arial"/>
          <w:szCs w:val="24"/>
        </w:rPr>
        <w:t xml:space="preserve">1 - O Banco Mundial exige que o Estado do Paraná, </w:t>
      </w:r>
      <w:r w:rsidR="00F5013A">
        <w:rPr>
          <w:rFonts w:ascii="Arial" w:hAnsi="Arial" w:cs="Arial"/>
          <w:szCs w:val="24"/>
        </w:rPr>
        <w:t>por meio</w:t>
      </w:r>
      <w:bookmarkStart w:id="0" w:name="_GoBack"/>
      <w:bookmarkEnd w:id="0"/>
      <w:r w:rsidRPr="00760CA6">
        <w:rPr>
          <w:rFonts w:ascii="Arial" w:hAnsi="Arial" w:cs="Arial"/>
          <w:szCs w:val="24"/>
        </w:rPr>
        <w:t xml:space="preserve"> da Secretaria de Estado do _______________________ - ____, Mutuários  de Empréstimo (incluindo beneficiários do empréstimo do Banco), licitantes, fornecedores, empreiteiros e seus agentes (sejam eles declarados ou não), subcontratados, </w:t>
      </w:r>
      <w:proofErr w:type="spellStart"/>
      <w:r w:rsidRPr="00760CA6">
        <w:rPr>
          <w:rFonts w:ascii="Arial" w:hAnsi="Arial" w:cs="Arial"/>
          <w:szCs w:val="24"/>
        </w:rPr>
        <w:t>subconsultores</w:t>
      </w:r>
      <w:proofErr w:type="spellEnd"/>
      <w:r w:rsidRPr="00760CA6">
        <w:rPr>
          <w:rFonts w:ascii="Arial" w:hAnsi="Arial" w:cs="Arial"/>
          <w:szCs w:val="24"/>
        </w:rPr>
        <w:t>, prestadores de serviço e fornecedores, além de todo funcionário a eles vinculado, que mantenham os mais elevados padrões de ética durante a aquisição e execução de contratos financiados pelo Banco</w:t>
      </w:r>
      <w:r w:rsidR="00206B68" w:rsidRPr="00760CA6">
        <w:rPr>
          <w:rStyle w:val="Refdenotaderodap"/>
          <w:rFonts w:ascii="Arial" w:hAnsi="Arial" w:cs="Arial"/>
          <w:szCs w:val="24"/>
        </w:rPr>
        <w:footnoteReference w:id="1"/>
      </w:r>
      <w:r w:rsidRPr="00760CA6">
        <w:rPr>
          <w:rFonts w:ascii="Arial" w:hAnsi="Arial" w:cs="Arial"/>
          <w:szCs w:val="24"/>
        </w:rPr>
        <w:t>.  Em consequência desta política, o Banco:</w:t>
      </w:r>
    </w:p>
    <w:p w:rsidR="00F6068E" w:rsidRPr="00760CA6" w:rsidRDefault="00F6068E" w:rsidP="00F6068E">
      <w:pPr>
        <w:pStyle w:val="Corpodetexto"/>
        <w:spacing w:line="240" w:lineRule="auto"/>
        <w:ind w:left="707"/>
        <w:rPr>
          <w:rFonts w:ascii="Arial" w:hAnsi="Arial" w:cs="Arial"/>
          <w:szCs w:val="24"/>
        </w:rPr>
      </w:pPr>
      <w:r w:rsidRPr="00760CA6">
        <w:rPr>
          <w:rFonts w:ascii="Arial" w:hAnsi="Arial" w:cs="Arial"/>
          <w:szCs w:val="24"/>
        </w:rPr>
        <w:t>a) define, para os fins desta disposição, os termos indicados a seguir:</w:t>
      </w:r>
    </w:p>
    <w:p w:rsidR="00F6068E" w:rsidRPr="00760CA6" w:rsidRDefault="00F6068E" w:rsidP="00F6068E">
      <w:pPr>
        <w:pStyle w:val="Corpodetexto"/>
        <w:spacing w:line="240" w:lineRule="auto"/>
        <w:ind w:left="1414"/>
        <w:rPr>
          <w:rFonts w:ascii="Arial" w:hAnsi="Arial" w:cs="Arial"/>
          <w:szCs w:val="24"/>
        </w:rPr>
      </w:pPr>
      <w:r w:rsidRPr="00760CA6">
        <w:rPr>
          <w:rFonts w:ascii="Arial" w:hAnsi="Arial" w:cs="Arial"/>
          <w:szCs w:val="24"/>
        </w:rPr>
        <w:t xml:space="preserve">(i) </w:t>
      </w:r>
      <w:r w:rsidR="00206B68" w:rsidRPr="00760CA6">
        <w:rPr>
          <w:rFonts w:ascii="Arial" w:hAnsi="Arial" w:cs="Arial"/>
          <w:szCs w:val="24"/>
        </w:rPr>
        <w:t>“</w:t>
      </w:r>
      <w:r w:rsidRPr="00760CA6">
        <w:rPr>
          <w:rFonts w:ascii="Arial" w:hAnsi="Arial" w:cs="Arial"/>
          <w:b/>
          <w:szCs w:val="24"/>
        </w:rPr>
        <w:t>prática corrupta</w:t>
      </w:r>
      <w:proofErr w:type="gramStart"/>
      <w:r w:rsidR="00206B68" w:rsidRPr="00760CA6">
        <w:rPr>
          <w:rFonts w:ascii="Arial" w:hAnsi="Arial" w:cs="Arial"/>
          <w:b/>
          <w:szCs w:val="24"/>
        </w:rPr>
        <w:t>”</w:t>
      </w:r>
      <w:proofErr w:type="gramEnd"/>
      <w:r w:rsidR="00206B68" w:rsidRPr="00760CA6">
        <w:rPr>
          <w:rStyle w:val="Refdenotaderodap"/>
          <w:rFonts w:ascii="Arial" w:hAnsi="Arial" w:cs="Arial"/>
          <w:szCs w:val="24"/>
        </w:rPr>
        <w:footnoteReference w:id="2"/>
      </w:r>
      <w:r w:rsidR="004A28F6" w:rsidRPr="00760CA6">
        <w:rPr>
          <w:rFonts w:ascii="Arial" w:hAnsi="Arial" w:cs="Arial"/>
          <w:szCs w:val="24"/>
        </w:rPr>
        <w:t>:</w:t>
      </w:r>
      <w:r w:rsidR="00206B68" w:rsidRPr="00760CA6">
        <w:rPr>
          <w:rFonts w:ascii="Arial" w:hAnsi="Arial" w:cs="Arial"/>
          <w:szCs w:val="24"/>
        </w:rPr>
        <w:t xml:space="preserve"> </w:t>
      </w:r>
      <w:r w:rsidRPr="00760CA6">
        <w:rPr>
          <w:rFonts w:ascii="Arial" w:hAnsi="Arial" w:cs="Arial"/>
          <w:szCs w:val="24"/>
        </w:rPr>
        <w:t xml:space="preserve">significa oferecer, entregar, receber ou solicitar, direta ou indiretamente, qualquer coisa de valor com a intenção de influenciar de modo indevido a ação de terceiros; </w:t>
      </w:r>
    </w:p>
    <w:p w:rsidR="00F6068E" w:rsidRPr="00760CA6" w:rsidRDefault="00206B68" w:rsidP="00F6068E">
      <w:pPr>
        <w:pStyle w:val="Corpodetexto"/>
        <w:spacing w:line="240" w:lineRule="auto"/>
        <w:ind w:left="1414"/>
        <w:rPr>
          <w:rFonts w:ascii="Arial" w:hAnsi="Arial" w:cs="Arial"/>
          <w:szCs w:val="24"/>
        </w:rPr>
      </w:pPr>
      <w:r w:rsidRPr="00760CA6">
        <w:rPr>
          <w:rFonts w:ascii="Arial" w:hAnsi="Arial" w:cs="Arial"/>
          <w:szCs w:val="24"/>
        </w:rPr>
        <w:t>(</w:t>
      </w:r>
      <w:proofErr w:type="spellStart"/>
      <w:r w:rsidRPr="00760CA6">
        <w:rPr>
          <w:rFonts w:ascii="Arial" w:hAnsi="Arial" w:cs="Arial"/>
          <w:szCs w:val="24"/>
        </w:rPr>
        <w:t>ii</w:t>
      </w:r>
      <w:proofErr w:type="spellEnd"/>
      <w:r w:rsidRPr="00760CA6">
        <w:rPr>
          <w:rFonts w:ascii="Arial" w:hAnsi="Arial" w:cs="Arial"/>
          <w:szCs w:val="24"/>
        </w:rPr>
        <w:t>) “</w:t>
      </w:r>
      <w:r w:rsidR="00F6068E" w:rsidRPr="00760CA6">
        <w:rPr>
          <w:rFonts w:ascii="Arial" w:hAnsi="Arial" w:cs="Arial"/>
          <w:b/>
          <w:szCs w:val="24"/>
        </w:rPr>
        <w:t>prática fraudulenta</w:t>
      </w:r>
      <w:proofErr w:type="gramStart"/>
      <w:r w:rsidR="00F6068E" w:rsidRPr="00760CA6">
        <w:rPr>
          <w:rFonts w:ascii="Arial" w:hAnsi="Arial" w:cs="Arial"/>
          <w:szCs w:val="24"/>
        </w:rPr>
        <w:t>”</w:t>
      </w:r>
      <w:proofErr w:type="gramEnd"/>
      <w:r w:rsidRPr="00760CA6">
        <w:rPr>
          <w:rStyle w:val="Refdenotaderodap"/>
          <w:rFonts w:ascii="Arial" w:hAnsi="Arial" w:cs="Arial"/>
          <w:szCs w:val="24"/>
        </w:rPr>
        <w:footnoteReference w:id="3"/>
      </w:r>
      <w:r w:rsidR="004A28F6" w:rsidRPr="00760CA6">
        <w:rPr>
          <w:rFonts w:ascii="Arial" w:hAnsi="Arial" w:cs="Arial"/>
          <w:szCs w:val="24"/>
        </w:rPr>
        <w:t>:</w:t>
      </w:r>
      <w:r w:rsidR="00F6068E" w:rsidRPr="00760CA6">
        <w:rPr>
          <w:rFonts w:ascii="Arial" w:hAnsi="Arial" w:cs="Arial"/>
          <w:szCs w:val="24"/>
        </w:rPr>
        <w:t xml:space="preserve"> significa qualquer ato, falsificação ou omissão de fatos que, de forma intencional ou irresponsável induza ou tente induzir uma parte a erro, com o objetivo de obter benefício financeiro ou de qualquer outra ordem, ou com a intenção de evitar o cumprimento de uma obrigação; </w:t>
      </w:r>
    </w:p>
    <w:p w:rsidR="00F6068E" w:rsidRPr="00760CA6" w:rsidRDefault="00F6068E" w:rsidP="00F6068E">
      <w:pPr>
        <w:pStyle w:val="Corpodetexto"/>
        <w:spacing w:line="240" w:lineRule="auto"/>
        <w:ind w:left="1414"/>
        <w:rPr>
          <w:rFonts w:ascii="Arial" w:hAnsi="Arial" w:cs="Arial"/>
          <w:szCs w:val="24"/>
        </w:rPr>
      </w:pPr>
      <w:r w:rsidRPr="00760CA6">
        <w:rPr>
          <w:rFonts w:ascii="Arial" w:hAnsi="Arial" w:cs="Arial"/>
          <w:szCs w:val="24"/>
        </w:rPr>
        <w:t>(</w:t>
      </w:r>
      <w:proofErr w:type="spellStart"/>
      <w:r w:rsidRPr="00760CA6">
        <w:rPr>
          <w:rFonts w:ascii="Arial" w:hAnsi="Arial" w:cs="Arial"/>
          <w:szCs w:val="24"/>
        </w:rPr>
        <w:t>iii</w:t>
      </w:r>
      <w:proofErr w:type="spellEnd"/>
      <w:r w:rsidRPr="00760CA6">
        <w:rPr>
          <w:rFonts w:ascii="Arial" w:hAnsi="Arial" w:cs="Arial"/>
          <w:szCs w:val="24"/>
        </w:rPr>
        <w:t>) “</w:t>
      </w:r>
      <w:r w:rsidRPr="00760CA6">
        <w:rPr>
          <w:rFonts w:ascii="Arial" w:hAnsi="Arial" w:cs="Arial"/>
          <w:b/>
          <w:szCs w:val="24"/>
        </w:rPr>
        <w:t xml:space="preserve">prática </w:t>
      </w:r>
      <w:proofErr w:type="spellStart"/>
      <w:r w:rsidRPr="00760CA6">
        <w:rPr>
          <w:rFonts w:ascii="Arial" w:hAnsi="Arial" w:cs="Arial"/>
          <w:b/>
          <w:szCs w:val="24"/>
        </w:rPr>
        <w:t>colusiva</w:t>
      </w:r>
      <w:proofErr w:type="spellEnd"/>
      <w:proofErr w:type="gramStart"/>
      <w:r w:rsidRPr="00760CA6">
        <w:rPr>
          <w:rFonts w:ascii="Arial" w:hAnsi="Arial" w:cs="Arial"/>
          <w:szCs w:val="24"/>
        </w:rPr>
        <w:t>”</w:t>
      </w:r>
      <w:proofErr w:type="gramEnd"/>
      <w:r w:rsidR="00962C90" w:rsidRPr="00760CA6">
        <w:rPr>
          <w:rStyle w:val="Refdenotaderodap"/>
          <w:rFonts w:ascii="Arial" w:hAnsi="Arial" w:cs="Arial"/>
          <w:szCs w:val="24"/>
        </w:rPr>
        <w:footnoteReference w:id="4"/>
      </w:r>
      <w:r w:rsidR="0069585A" w:rsidRPr="00760CA6">
        <w:rPr>
          <w:rFonts w:ascii="Arial" w:hAnsi="Arial" w:cs="Arial"/>
          <w:szCs w:val="24"/>
        </w:rPr>
        <w:t xml:space="preserve">: </w:t>
      </w:r>
      <w:r w:rsidRPr="00760CA6">
        <w:rPr>
          <w:rFonts w:ascii="Arial" w:hAnsi="Arial" w:cs="Arial"/>
          <w:szCs w:val="24"/>
        </w:rPr>
        <w:t xml:space="preserve">significa uma combinação entre duas ou mais partes visando alcançar um objetivo indevido, inclusive influenciar indevidamente as ações de outra parte; </w:t>
      </w:r>
    </w:p>
    <w:p w:rsidR="00F6068E" w:rsidRPr="00760CA6" w:rsidRDefault="00F6068E" w:rsidP="00F6068E">
      <w:pPr>
        <w:pStyle w:val="Corpodetexto"/>
        <w:spacing w:line="240" w:lineRule="auto"/>
        <w:ind w:left="1414"/>
        <w:rPr>
          <w:rFonts w:ascii="Arial" w:hAnsi="Arial" w:cs="Arial"/>
          <w:szCs w:val="24"/>
        </w:rPr>
      </w:pPr>
      <w:r w:rsidRPr="00760CA6">
        <w:rPr>
          <w:rFonts w:ascii="Arial" w:hAnsi="Arial" w:cs="Arial"/>
          <w:szCs w:val="24"/>
        </w:rPr>
        <w:t>(</w:t>
      </w:r>
      <w:proofErr w:type="spellStart"/>
      <w:r w:rsidRPr="00760CA6">
        <w:rPr>
          <w:rFonts w:ascii="Arial" w:hAnsi="Arial" w:cs="Arial"/>
          <w:szCs w:val="24"/>
        </w:rPr>
        <w:t>iv</w:t>
      </w:r>
      <w:proofErr w:type="spellEnd"/>
      <w:r w:rsidRPr="00760CA6">
        <w:rPr>
          <w:rFonts w:ascii="Arial" w:hAnsi="Arial" w:cs="Arial"/>
          <w:szCs w:val="24"/>
        </w:rPr>
        <w:t>) “</w:t>
      </w:r>
      <w:r w:rsidRPr="00760CA6">
        <w:rPr>
          <w:rFonts w:ascii="Arial" w:hAnsi="Arial" w:cs="Arial"/>
          <w:b/>
          <w:szCs w:val="24"/>
        </w:rPr>
        <w:t>prática coercitiva</w:t>
      </w:r>
      <w:proofErr w:type="gramStart"/>
      <w:r w:rsidRPr="00760CA6">
        <w:rPr>
          <w:rFonts w:ascii="Arial" w:hAnsi="Arial" w:cs="Arial"/>
          <w:szCs w:val="24"/>
        </w:rPr>
        <w:t>”</w:t>
      </w:r>
      <w:proofErr w:type="gramEnd"/>
      <w:r w:rsidR="0069585A" w:rsidRPr="00760CA6">
        <w:rPr>
          <w:rStyle w:val="Refdenotaderodap"/>
          <w:rFonts w:ascii="Arial" w:hAnsi="Arial" w:cs="Arial"/>
          <w:szCs w:val="24"/>
        </w:rPr>
        <w:footnoteReference w:id="5"/>
      </w:r>
      <w:r w:rsidR="0069585A" w:rsidRPr="00760CA6">
        <w:rPr>
          <w:rFonts w:ascii="Arial" w:hAnsi="Arial" w:cs="Arial"/>
          <w:szCs w:val="24"/>
        </w:rPr>
        <w:t>:</w:t>
      </w:r>
      <w:r w:rsidRPr="00760CA6">
        <w:rPr>
          <w:rFonts w:ascii="Arial" w:hAnsi="Arial" w:cs="Arial"/>
          <w:szCs w:val="24"/>
        </w:rPr>
        <w:t xml:space="preserve"> significa prejudicar ou causar dano, ou ameaçar prejudicar ou causar dano, direta ou indiretamente, a qualquer parte interessada ou à sua propriedade, para influenciar indevidamente as ações de uma parte;</w:t>
      </w:r>
    </w:p>
    <w:p w:rsidR="00F6068E" w:rsidRPr="00760CA6" w:rsidRDefault="00F6068E" w:rsidP="00F6068E">
      <w:pPr>
        <w:pStyle w:val="Corpodetexto"/>
        <w:spacing w:line="240" w:lineRule="auto"/>
        <w:ind w:left="1414"/>
        <w:rPr>
          <w:rFonts w:ascii="Arial" w:hAnsi="Arial" w:cs="Arial"/>
          <w:szCs w:val="24"/>
        </w:rPr>
      </w:pPr>
      <w:r w:rsidRPr="00760CA6">
        <w:rPr>
          <w:rFonts w:ascii="Arial" w:hAnsi="Arial" w:cs="Arial"/>
          <w:szCs w:val="24"/>
        </w:rPr>
        <w:t>(v) “</w:t>
      </w:r>
      <w:r w:rsidRPr="00760CA6">
        <w:rPr>
          <w:rFonts w:ascii="Arial" w:hAnsi="Arial" w:cs="Arial"/>
          <w:b/>
          <w:szCs w:val="24"/>
        </w:rPr>
        <w:t>prática obstrutiva</w:t>
      </w:r>
      <w:r w:rsidRPr="00760CA6">
        <w:rPr>
          <w:rFonts w:ascii="Arial" w:hAnsi="Arial" w:cs="Arial"/>
          <w:szCs w:val="24"/>
        </w:rPr>
        <w:t>”</w:t>
      </w:r>
      <w:r w:rsidR="0069585A" w:rsidRPr="00760CA6">
        <w:rPr>
          <w:rFonts w:ascii="Arial" w:hAnsi="Arial" w:cs="Arial"/>
          <w:szCs w:val="24"/>
        </w:rPr>
        <w:t>:</w:t>
      </w:r>
      <w:r w:rsidRPr="00760CA6">
        <w:rPr>
          <w:rFonts w:ascii="Arial" w:hAnsi="Arial" w:cs="Arial"/>
          <w:szCs w:val="24"/>
        </w:rPr>
        <w:t xml:space="preserve"> significa:</w:t>
      </w:r>
    </w:p>
    <w:p w:rsidR="00F6068E" w:rsidRPr="00760CA6" w:rsidRDefault="00F6068E" w:rsidP="0069585A">
      <w:pPr>
        <w:pStyle w:val="Corpodetexto"/>
        <w:spacing w:line="240" w:lineRule="auto"/>
        <w:ind w:left="1758"/>
        <w:rPr>
          <w:rFonts w:ascii="Arial" w:hAnsi="Arial" w:cs="Arial"/>
          <w:szCs w:val="24"/>
        </w:rPr>
      </w:pPr>
      <w:r w:rsidRPr="00760CA6">
        <w:rPr>
          <w:rFonts w:ascii="Arial" w:hAnsi="Arial" w:cs="Arial"/>
          <w:szCs w:val="24"/>
        </w:rPr>
        <w:t xml:space="preserve">(aa) deliberadamente destruir, falsificar, alterar ou ocultar provas em investigações ou fazer declarações falsas a investigadores, com o objetivo de impedir materialmente uma investigação do Banco de alegações de </w:t>
      </w:r>
      <w:proofErr w:type="gramStart"/>
      <w:r w:rsidRPr="00760CA6">
        <w:rPr>
          <w:rFonts w:ascii="Arial" w:hAnsi="Arial" w:cs="Arial"/>
          <w:szCs w:val="24"/>
        </w:rPr>
        <w:t>prática</w:t>
      </w:r>
      <w:proofErr w:type="gramEnd"/>
      <w:r w:rsidRPr="00760CA6">
        <w:rPr>
          <w:rFonts w:ascii="Arial" w:hAnsi="Arial" w:cs="Arial"/>
          <w:szCs w:val="24"/>
        </w:rPr>
        <w:t xml:space="preserve"> </w:t>
      </w:r>
      <w:proofErr w:type="gramStart"/>
      <w:r w:rsidRPr="00760CA6">
        <w:rPr>
          <w:rFonts w:ascii="Arial" w:hAnsi="Arial" w:cs="Arial"/>
          <w:szCs w:val="24"/>
        </w:rPr>
        <w:t>corrupta</w:t>
      </w:r>
      <w:proofErr w:type="gramEnd"/>
      <w:r w:rsidRPr="00760CA6">
        <w:rPr>
          <w:rFonts w:ascii="Arial" w:hAnsi="Arial" w:cs="Arial"/>
          <w:szCs w:val="24"/>
        </w:rPr>
        <w:t xml:space="preserve">, fraudulenta, coercitiva ou </w:t>
      </w:r>
      <w:proofErr w:type="spellStart"/>
      <w:r w:rsidRPr="00760CA6">
        <w:rPr>
          <w:rFonts w:ascii="Arial" w:hAnsi="Arial" w:cs="Arial"/>
          <w:szCs w:val="24"/>
        </w:rPr>
        <w:t>colusiva</w:t>
      </w:r>
      <w:proofErr w:type="spellEnd"/>
      <w:r w:rsidRPr="00760CA6">
        <w:rPr>
          <w:rFonts w:ascii="Arial" w:hAnsi="Arial" w:cs="Arial"/>
          <w:szCs w:val="24"/>
        </w:rPr>
        <w:t xml:space="preserve">; e/ou ameaçar, perseguir ou intimidar qualquer parte interessada, para </w:t>
      </w:r>
      <w:r w:rsidR="0069585A" w:rsidRPr="00760CA6">
        <w:rPr>
          <w:rFonts w:ascii="Arial" w:hAnsi="Arial" w:cs="Arial"/>
          <w:szCs w:val="24"/>
        </w:rPr>
        <w:t>impedi-la</w:t>
      </w:r>
      <w:r w:rsidRPr="00760CA6">
        <w:rPr>
          <w:rFonts w:ascii="Arial" w:hAnsi="Arial" w:cs="Arial"/>
          <w:szCs w:val="24"/>
        </w:rPr>
        <w:t xml:space="preserve"> de mostrar seu conhecimento sobre assuntos relevantes à investigação ou ao seu prosseguimento, ou</w:t>
      </w:r>
    </w:p>
    <w:p w:rsidR="00F6068E" w:rsidRPr="00760CA6" w:rsidRDefault="00F6068E" w:rsidP="00F6068E">
      <w:pPr>
        <w:pStyle w:val="Corpodetexto"/>
        <w:spacing w:line="240" w:lineRule="auto"/>
        <w:ind w:left="1414"/>
        <w:rPr>
          <w:rFonts w:ascii="Arial" w:hAnsi="Arial" w:cs="Arial"/>
          <w:szCs w:val="24"/>
        </w:rPr>
      </w:pPr>
    </w:p>
    <w:p w:rsidR="00F6068E" w:rsidRPr="00760CA6" w:rsidRDefault="00F6068E" w:rsidP="0069585A">
      <w:pPr>
        <w:pStyle w:val="Corpodetexto"/>
        <w:spacing w:line="240" w:lineRule="auto"/>
        <w:ind w:left="1758"/>
        <w:rPr>
          <w:rFonts w:ascii="Arial" w:hAnsi="Arial" w:cs="Arial"/>
          <w:szCs w:val="24"/>
        </w:rPr>
      </w:pPr>
      <w:r w:rsidRPr="00760CA6">
        <w:rPr>
          <w:rFonts w:ascii="Arial" w:hAnsi="Arial" w:cs="Arial"/>
          <w:szCs w:val="24"/>
        </w:rPr>
        <w:t>(</w:t>
      </w:r>
      <w:proofErr w:type="spellStart"/>
      <w:r w:rsidRPr="00760CA6">
        <w:rPr>
          <w:rFonts w:ascii="Arial" w:hAnsi="Arial" w:cs="Arial"/>
          <w:szCs w:val="24"/>
        </w:rPr>
        <w:t>bb</w:t>
      </w:r>
      <w:proofErr w:type="spellEnd"/>
      <w:r w:rsidRPr="00760CA6">
        <w:rPr>
          <w:rFonts w:ascii="Arial" w:hAnsi="Arial" w:cs="Arial"/>
          <w:szCs w:val="24"/>
        </w:rPr>
        <w:t>) atos que tenham como objetivo impedir materialmente o exercício dos direitos do Banco de promover inspeção ou auditoria, estabelecidos no parágrafo (e) abaixo:</w:t>
      </w:r>
    </w:p>
    <w:p w:rsidR="00F6068E" w:rsidRPr="00760CA6" w:rsidRDefault="00F6068E" w:rsidP="00E2083C">
      <w:pPr>
        <w:pStyle w:val="Default"/>
        <w:ind w:left="707"/>
        <w:jc w:val="both"/>
        <w:rPr>
          <w:rFonts w:ascii="Arial" w:hAnsi="Arial" w:cs="Arial"/>
          <w:color w:val="auto"/>
          <w:lang w:bidi="pt-BR"/>
        </w:rPr>
      </w:pPr>
      <w:r w:rsidRPr="00760CA6">
        <w:rPr>
          <w:rFonts w:ascii="Arial" w:hAnsi="Arial" w:cs="Arial"/>
          <w:color w:val="auto"/>
        </w:rPr>
        <w:t xml:space="preserve">(b) </w:t>
      </w:r>
      <w:r w:rsidRPr="00760CA6">
        <w:rPr>
          <w:rFonts w:ascii="Arial" w:hAnsi="Arial" w:cs="Arial"/>
          <w:color w:val="auto"/>
          <w:lang w:bidi="pt-BR"/>
        </w:rPr>
        <w:t xml:space="preserve">rejeitará uma proposta de outorga se determinar que o licitante recomendado para a outorga do contrato, ou qualquer do seu pessoal, ou seus agentes, subconsultores, </w:t>
      </w:r>
      <w:r w:rsidR="0069585A" w:rsidRPr="00760CA6">
        <w:rPr>
          <w:rFonts w:ascii="Arial" w:hAnsi="Arial" w:cs="Arial"/>
          <w:color w:val="auto"/>
          <w:lang w:bidi="pt-BR"/>
        </w:rPr>
        <w:t>subempreiteiros</w:t>
      </w:r>
      <w:r w:rsidRPr="00760CA6">
        <w:rPr>
          <w:rFonts w:ascii="Arial" w:hAnsi="Arial" w:cs="Arial"/>
          <w:color w:val="auto"/>
          <w:lang w:bidi="pt-BR"/>
        </w:rPr>
        <w:t xml:space="preserve">, prestadores de serviço, fornecedores e/ou funcionários, envolveu-se, direta ou indiretamente, em práticas corruptas, fraudulentas, </w:t>
      </w:r>
      <w:proofErr w:type="spellStart"/>
      <w:r w:rsidRPr="00760CA6">
        <w:rPr>
          <w:rFonts w:ascii="Arial" w:hAnsi="Arial" w:cs="Arial"/>
          <w:color w:val="auto"/>
          <w:lang w:bidi="pt-BR"/>
        </w:rPr>
        <w:t>colusivas</w:t>
      </w:r>
      <w:proofErr w:type="spellEnd"/>
      <w:r w:rsidRPr="00760CA6">
        <w:rPr>
          <w:rFonts w:ascii="Arial" w:hAnsi="Arial" w:cs="Arial"/>
          <w:color w:val="auto"/>
          <w:lang w:bidi="pt-BR"/>
        </w:rPr>
        <w:t xml:space="preserve">, coercitivas ou obstrutivas ao concorrer para o contrato em questão; </w:t>
      </w:r>
    </w:p>
    <w:p w:rsidR="00F6068E" w:rsidRPr="00760CA6" w:rsidRDefault="00F6068E" w:rsidP="00F6068E">
      <w:pPr>
        <w:pStyle w:val="Corpodetexto"/>
        <w:spacing w:line="240" w:lineRule="auto"/>
        <w:ind w:left="707"/>
        <w:rPr>
          <w:sz w:val="23"/>
          <w:szCs w:val="23"/>
        </w:rPr>
      </w:pPr>
      <w:r w:rsidRPr="00760CA6">
        <w:rPr>
          <w:rFonts w:ascii="Arial" w:hAnsi="Arial" w:cs="Arial"/>
          <w:szCs w:val="24"/>
        </w:rPr>
        <w:t xml:space="preserve"> (c) declarará viciado o processo de aquisição e cancelará a parcela do empréstimo alocada a um contrato se, a qualquer momento, determinar que representantes do Mutuário ou de um beneficiário de qualquer parte dos recursos empréstimo envolveram-se em práticas corruptas, fraudulentas, </w:t>
      </w:r>
      <w:proofErr w:type="spellStart"/>
      <w:r w:rsidRPr="00760CA6">
        <w:rPr>
          <w:rFonts w:ascii="Arial" w:hAnsi="Arial" w:cs="Arial"/>
          <w:szCs w:val="24"/>
        </w:rPr>
        <w:t>colusivas</w:t>
      </w:r>
      <w:proofErr w:type="spellEnd"/>
      <w:r w:rsidRPr="00760CA6">
        <w:rPr>
          <w:rFonts w:ascii="Arial" w:hAnsi="Arial" w:cs="Arial"/>
          <w:szCs w:val="24"/>
        </w:rPr>
        <w:t xml:space="preserve">, coercitivas ou obstrutivas durante o processo de aquisição ou de </w:t>
      </w:r>
      <w:proofErr w:type="gramStart"/>
      <w:r w:rsidRPr="00760CA6">
        <w:rPr>
          <w:rFonts w:ascii="Arial" w:hAnsi="Arial" w:cs="Arial"/>
          <w:szCs w:val="24"/>
        </w:rPr>
        <w:t>implementação</w:t>
      </w:r>
      <w:proofErr w:type="gramEnd"/>
      <w:r w:rsidRPr="00760CA6">
        <w:rPr>
          <w:rFonts w:ascii="Arial" w:hAnsi="Arial" w:cs="Arial"/>
          <w:szCs w:val="24"/>
        </w:rPr>
        <w:t xml:space="preserve"> do contrato em questão, sem que o Mutuário tenha adotado medidas oportunas e adequadas, satisfatórias ao Banco, para combater essas práticas quando de sua ocorrência, inclusive por falhar em informar tempestivamente o Banco no momento em que tomou conhecimento dessas práticas;</w:t>
      </w:r>
      <w:r w:rsidRPr="00760CA6">
        <w:rPr>
          <w:sz w:val="23"/>
          <w:szCs w:val="23"/>
        </w:rPr>
        <w:t xml:space="preserve"> </w:t>
      </w:r>
    </w:p>
    <w:p w:rsidR="00F6068E" w:rsidRPr="00760CA6" w:rsidRDefault="00F6068E" w:rsidP="00F6068E">
      <w:pPr>
        <w:pStyle w:val="Corpodetexto"/>
        <w:spacing w:line="240" w:lineRule="auto"/>
        <w:ind w:left="707"/>
        <w:rPr>
          <w:rFonts w:ascii="Arial" w:hAnsi="Arial" w:cs="Arial"/>
          <w:szCs w:val="24"/>
        </w:rPr>
      </w:pPr>
      <w:r w:rsidRPr="00760CA6">
        <w:rPr>
          <w:rFonts w:ascii="Arial" w:hAnsi="Arial" w:cs="Arial"/>
          <w:szCs w:val="24"/>
        </w:rPr>
        <w:t>(d) sancionará uma empresa ou uma pessoa física, a qualquer tempo, de acordo com os procedimentos de sanção cabíveis do Banco</w:t>
      </w:r>
      <w:r w:rsidR="00D12933" w:rsidRPr="00760CA6">
        <w:rPr>
          <w:rStyle w:val="Refdenotaderodap"/>
          <w:rFonts w:ascii="Arial" w:hAnsi="Arial" w:cs="Arial"/>
          <w:szCs w:val="24"/>
        </w:rPr>
        <w:footnoteReference w:id="6"/>
      </w:r>
      <w:r w:rsidRPr="00760CA6">
        <w:rPr>
          <w:sz w:val="23"/>
          <w:szCs w:val="23"/>
        </w:rPr>
        <w:t>,</w:t>
      </w:r>
      <w:r w:rsidRPr="00760CA6">
        <w:rPr>
          <w:rFonts w:ascii="Arial" w:hAnsi="Arial" w:cs="Arial"/>
          <w:szCs w:val="24"/>
        </w:rPr>
        <w:t xml:space="preserve"> inclusive declarando-a inelegível, indefinidamente ou por prazo determinado: (i) para a outorga de contratos financiados pelo Banco; e (</w:t>
      </w:r>
      <w:proofErr w:type="spellStart"/>
      <w:proofErr w:type="gramStart"/>
      <w:r w:rsidRPr="00760CA6">
        <w:rPr>
          <w:rFonts w:ascii="Arial" w:hAnsi="Arial" w:cs="Arial"/>
          <w:szCs w:val="24"/>
        </w:rPr>
        <w:t>ii</w:t>
      </w:r>
      <w:proofErr w:type="spellEnd"/>
      <w:proofErr w:type="gramEnd"/>
      <w:r w:rsidRPr="00760CA6">
        <w:rPr>
          <w:rFonts w:ascii="Arial" w:hAnsi="Arial" w:cs="Arial"/>
          <w:szCs w:val="24"/>
        </w:rPr>
        <w:t>) para ser designado</w:t>
      </w:r>
      <w:r w:rsidR="0052694B" w:rsidRPr="00760CA6">
        <w:rPr>
          <w:rStyle w:val="Refdenotaderodap"/>
          <w:rFonts w:ascii="Arial" w:hAnsi="Arial" w:cs="Arial"/>
          <w:szCs w:val="24"/>
        </w:rPr>
        <w:footnoteReference w:id="7"/>
      </w:r>
      <w:r w:rsidRPr="00760CA6">
        <w:rPr>
          <w:rFonts w:ascii="Arial" w:hAnsi="Arial" w:cs="Arial"/>
          <w:szCs w:val="24"/>
        </w:rPr>
        <w:t xml:space="preserve"> subempreiteiro, consultor, fornecedor ou prestador de serviço de uma empresa elegível que esteja recebendo a outorga de um contrato financiado pelo Banco;</w:t>
      </w:r>
    </w:p>
    <w:p w:rsidR="00F6068E" w:rsidRPr="00760CA6" w:rsidRDefault="00F6068E" w:rsidP="00F6068E">
      <w:pPr>
        <w:pStyle w:val="Corpodetexto"/>
        <w:spacing w:line="240" w:lineRule="auto"/>
        <w:ind w:left="707"/>
        <w:rPr>
          <w:rFonts w:ascii="Arial" w:hAnsi="Arial" w:cs="Arial"/>
          <w:szCs w:val="24"/>
        </w:rPr>
      </w:pPr>
      <w:r w:rsidRPr="00760CA6">
        <w:rPr>
          <w:rFonts w:ascii="Arial" w:hAnsi="Arial" w:cs="Arial"/>
          <w:szCs w:val="24"/>
        </w:rPr>
        <w:t>(e) Os licitantes, fornecedores e empreiteiros, assim como seus subempreiteiros, agentes, pessoal, consultores, prestadores de serviço e fornecedores, deverão permitir que o</w:t>
      </w:r>
      <w:r w:rsidRPr="00760CA6">
        <w:rPr>
          <w:sz w:val="23"/>
          <w:szCs w:val="23"/>
        </w:rPr>
        <w:t xml:space="preserve"> </w:t>
      </w:r>
      <w:r w:rsidRPr="00760CA6">
        <w:rPr>
          <w:rFonts w:ascii="Arial" w:hAnsi="Arial" w:cs="Arial"/>
          <w:szCs w:val="24"/>
        </w:rPr>
        <w:t xml:space="preserve">Banco </w:t>
      </w:r>
      <w:proofErr w:type="gramStart"/>
      <w:r w:rsidRPr="00760CA6">
        <w:rPr>
          <w:rFonts w:ascii="Arial" w:hAnsi="Arial" w:cs="Arial"/>
          <w:szCs w:val="24"/>
        </w:rPr>
        <w:t>inspecione</w:t>
      </w:r>
      <w:proofErr w:type="gramEnd"/>
      <w:r w:rsidRPr="00760CA6">
        <w:rPr>
          <w:rFonts w:ascii="Arial" w:hAnsi="Arial" w:cs="Arial"/>
          <w:szCs w:val="24"/>
        </w:rPr>
        <w:t xml:space="preserve"> todas as contas e registros, além de outros documentos referentes à apresentação das propostas e à execução do contrato, e os submeta a auditoria por profissionais designados pelo Banco.</w:t>
      </w:r>
    </w:p>
    <w:sectPr w:rsidR="00F6068E" w:rsidRPr="00760CA6" w:rsidSect="0052694B">
      <w:pgSz w:w="11906" w:h="16838"/>
      <w:pgMar w:top="3009" w:right="737" w:bottom="1730" w:left="1134" w:header="794" w:footer="567"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8E" w:rsidRDefault="00F6068E" w:rsidP="00F6068E">
      <w:r>
        <w:separator/>
      </w:r>
    </w:p>
  </w:endnote>
  <w:endnote w:type="continuationSeparator" w:id="0">
    <w:p w:rsidR="00F6068E" w:rsidRDefault="00F6068E" w:rsidP="00F6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itstream Vera Sans">
    <w:altName w:val="Arial Unicode MS"/>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8E" w:rsidRDefault="00F6068E" w:rsidP="00F6068E">
      <w:r>
        <w:separator/>
      </w:r>
    </w:p>
  </w:footnote>
  <w:footnote w:type="continuationSeparator" w:id="0">
    <w:p w:rsidR="00F6068E" w:rsidRDefault="00F6068E" w:rsidP="00F6068E">
      <w:r>
        <w:continuationSeparator/>
      </w:r>
    </w:p>
  </w:footnote>
  <w:footnote w:id="1">
    <w:p w:rsidR="00206B68" w:rsidRDefault="00206B68" w:rsidP="00E2083C">
      <w:pPr>
        <w:pStyle w:val="Textodenotaderodap"/>
        <w:ind w:left="227" w:hanging="227"/>
        <w:jc w:val="both"/>
      </w:pPr>
      <w:r w:rsidRPr="00E2083C">
        <w:rPr>
          <w:rStyle w:val="Refdenotaderodap"/>
          <w:rFonts w:ascii="Arial" w:hAnsi="Arial"/>
          <w:vertAlign w:val="baseline"/>
        </w:rPr>
        <w:footnoteRef/>
      </w:r>
      <w:r w:rsidR="00E2083C">
        <w:t>.</w:t>
      </w:r>
      <w:r>
        <w:t xml:space="preserve"> </w:t>
      </w:r>
      <w:r w:rsidRPr="00206B68">
        <w:rPr>
          <w:rFonts w:ascii="Arial" w:hAnsi="Arial" w:cs="Arial"/>
        </w:rPr>
        <w:t>Nesse contexto, será imprópria qualquer atitude tomada no intuito de influenciar o processo de aquisição ou a execução do contrato para obter vantagens indevidas.</w:t>
      </w:r>
    </w:p>
  </w:footnote>
  <w:footnote w:id="2">
    <w:p w:rsidR="00206B68" w:rsidRPr="00962C90" w:rsidRDefault="00206B68" w:rsidP="00E2083C">
      <w:pPr>
        <w:pStyle w:val="Textodenotaderodap"/>
        <w:ind w:left="227" w:hanging="227"/>
        <w:jc w:val="both"/>
        <w:rPr>
          <w:rFonts w:ascii="Arial" w:hAnsi="Arial" w:cs="Arial"/>
        </w:rPr>
      </w:pPr>
      <w:r w:rsidRPr="00E2083C">
        <w:rPr>
          <w:rStyle w:val="Refdenotaderodap"/>
          <w:rFonts w:ascii="Arial" w:hAnsi="Arial" w:cs="Arial"/>
          <w:vertAlign w:val="baseline"/>
        </w:rPr>
        <w:footnoteRef/>
      </w:r>
      <w:r w:rsidR="00E2083C">
        <w:t>.</w:t>
      </w:r>
      <w:r>
        <w:t xml:space="preserve"> </w:t>
      </w:r>
      <w:r w:rsidRPr="00206B68">
        <w:rPr>
          <w:rFonts w:ascii="Arial" w:hAnsi="Arial" w:cs="Arial"/>
        </w:rPr>
        <w:t xml:space="preserve">Para os fins deste parágrafo, </w:t>
      </w:r>
      <w:r>
        <w:rPr>
          <w:rFonts w:ascii="Arial" w:hAnsi="Arial" w:cs="Arial"/>
        </w:rPr>
        <w:t>“</w:t>
      </w:r>
      <w:r w:rsidRPr="00206B68">
        <w:rPr>
          <w:rFonts w:ascii="Arial" w:hAnsi="Arial" w:cs="Arial"/>
        </w:rPr>
        <w:t>terceiros</w:t>
      </w:r>
      <w:r>
        <w:rPr>
          <w:rFonts w:ascii="Arial" w:hAnsi="Arial" w:cs="Arial"/>
        </w:rPr>
        <w:t>”</w:t>
      </w:r>
      <w:r w:rsidRPr="00206B68">
        <w:rPr>
          <w:rFonts w:ascii="Arial" w:hAnsi="Arial" w:cs="Arial"/>
        </w:rPr>
        <w:t xml:space="preserve"> refere-se a um funcionário público que atue no processo de aquisição ou na execução do contrato. Nesse contexto, </w:t>
      </w:r>
      <w:r>
        <w:rPr>
          <w:rFonts w:ascii="Arial" w:hAnsi="Arial" w:cs="Arial"/>
        </w:rPr>
        <w:t>“funcionário público”</w:t>
      </w:r>
      <w:r w:rsidRPr="00206B68">
        <w:rPr>
          <w:rFonts w:ascii="Arial" w:hAnsi="Arial" w:cs="Arial"/>
        </w:rPr>
        <w:t xml:space="preserve"> inclui a equipe do Banco Mundial e os funcionários de outras organizações que examinam ou tomam decisões sobre aquisição.</w:t>
      </w:r>
    </w:p>
  </w:footnote>
  <w:footnote w:id="3">
    <w:p w:rsidR="00206B68" w:rsidRPr="00206B68" w:rsidRDefault="00206B68" w:rsidP="00E2083C">
      <w:pPr>
        <w:pStyle w:val="Textodenotaderodap"/>
        <w:ind w:left="227" w:hanging="227"/>
        <w:jc w:val="both"/>
        <w:rPr>
          <w:rFonts w:ascii="Arial" w:hAnsi="Arial" w:cs="Arial"/>
        </w:rPr>
      </w:pPr>
      <w:r w:rsidRPr="00E2083C">
        <w:rPr>
          <w:rStyle w:val="Refdenotaderodap"/>
          <w:rFonts w:ascii="Arial" w:hAnsi="Arial"/>
          <w:vertAlign w:val="baseline"/>
        </w:rPr>
        <w:footnoteRef/>
      </w:r>
      <w:r w:rsidR="00E2083C">
        <w:t>.</w:t>
      </w:r>
      <w:r>
        <w:t xml:space="preserve"> </w:t>
      </w:r>
      <w:r>
        <w:rPr>
          <w:rFonts w:ascii="Arial" w:hAnsi="Arial" w:cs="Arial"/>
        </w:rPr>
        <w:t>Para os fins deste parágrafo, “</w:t>
      </w:r>
      <w:r w:rsidRPr="00206B68">
        <w:rPr>
          <w:rFonts w:ascii="Arial" w:hAnsi="Arial" w:cs="Arial"/>
        </w:rPr>
        <w:t>parte” refere-se a um funcionário público; os termos</w:t>
      </w:r>
      <w:proofErr w:type="gramStart"/>
      <w:r w:rsidRPr="00206B68">
        <w:rPr>
          <w:rFonts w:ascii="Arial" w:hAnsi="Arial" w:cs="Arial"/>
        </w:rPr>
        <w:t xml:space="preserve">  </w:t>
      </w:r>
      <w:proofErr w:type="gramEnd"/>
      <w:r w:rsidRPr="00206B68">
        <w:rPr>
          <w:rFonts w:ascii="Arial" w:hAnsi="Arial" w:cs="Arial"/>
        </w:rPr>
        <w:t>“benefício” e</w:t>
      </w:r>
      <w:r>
        <w:rPr>
          <w:rFonts w:ascii="Arial" w:hAnsi="Arial" w:cs="Arial"/>
        </w:rPr>
        <w:t xml:space="preserve"> “</w:t>
      </w:r>
      <w:r w:rsidRPr="00206B68">
        <w:rPr>
          <w:rFonts w:ascii="Arial" w:hAnsi="Arial" w:cs="Arial"/>
        </w:rPr>
        <w:t xml:space="preserve">obrigação” são relativos ao processo de aquisição ou à execução do contrato; e o </w:t>
      </w:r>
      <w:r>
        <w:rPr>
          <w:rFonts w:ascii="Arial" w:hAnsi="Arial" w:cs="Arial"/>
        </w:rPr>
        <w:t>“ato ou omissão”</w:t>
      </w:r>
      <w:r w:rsidRPr="00206B68">
        <w:rPr>
          <w:rFonts w:ascii="Arial" w:hAnsi="Arial" w:cs="Arial"/>
        </w:rPr>
        <w:t xml:space="preserve"> tem como objetivo influenciar o processo de aquisição ou a execução do contrato.</w:t>
      </w:r>
    </w:p>
  </w:footnote>
  <w:footnote w:id="4">
    <w:p w:rsidR="00962C90" w:rsidRDefault="00962C90" w:rsidP="00E2083C">
      <w:pPr>
        <w:pStyle w:val="Textodenotaderodap"/>
        <w:ind w:left="227" w:hanging="227"/>
        <w:jc w:val="both"/>
      </w:pPr>
      <w:r w:rsidRPr="00E2083C">
        <w:rPr>
          <w:rStyle w:val="Refdenotaderodap"/>
          <w:rFonts w:ascii="Arial" w:hAnsi="Arial"/>
          <w:vertAlign w:val="baseline"/>
        </w:rPr>
        <w:footnoteRef/>
      </w:r>
      <w:r w:rsidR="00E2083C">
        <w:t>.</w:t>
      </w:r>
      <w:r>
        <w:t xml:space="preserve"> </w:t>
      </w:r>
      <w:r w:rsidRPr="00962C90">
        <w:rPr>
          <w:rFonts w:ascii="Arial" w:hAnsi="Arial" w:cs="Arial"/>
        </w:rPr>
        <w:t>Para os fins deste parágrafo, o termo “partes”‖ refere-se aos participantes do processo de aquisição (inclusive funcionários públicos) que tentam por si mesmos ou por intermédio de outra pessoa ou entidade que não participe do processo de aquisição ou seleção simular a concorrência ou estabelecer preços em níveis artificiais e não competitivos ou ter acesso às propostas de preço ou demais condições de outros participantes.</w:t>
      </w:r>
    </w:p>
  </w:footnote>
  <w:footnote w:id="5">
    <w:p w:rsidR="0069585A" w:rsidRDefault="0069585A" w:rsidP="00E2083C">
      <w:pPr>
        <w:pStyle w:val="Textodenotaderodap"/>
        <w:ind w:left="227" w:hanging="227"/>
        <w:jc w:val="both"/>
      </w:pPr>
      <w:r w:rsidRPr="00E2083C">
        <w:rPr>
          <w:rStyle w:val="Refdenotaderodap"/>
          <w:rFonts w:ascii="Arial" w:hAnsi="Arial"/>
          <w:vertAlign w:val="baseline"/>
        </w:rPr>
        <w:footnoteRef/>
      </w:r>
      <w:r w:rsidR="00E2083C" w:rsidRPr="00E2083C">
        <w:rPr>
          <w:rFonts w:ascii="Arial" w:hAnsi="Arial"/>
        </w:rPr>
        <w:t>.</w:t>
      </w:r>
      <w:r>
        <w:t xml:space="preserve"> </w:t>
      </w:r>
      <w:r w:rsidRPr="0069585A">
        <w:rPr>
          <w:rFonts w:ascii="Arial" w:hAnsi="Arial" w:cs="Arial"/>
        </w:rPr>
        <w:t>Para os fins deste parágrafo, “parte” refere-se a um participante do processo de aquisição ou da execução do contrato.</w:t>
      </w:r>
    </w:p>
  </w:footnote>
  <w:footnote w:id="6">
    <w:p w:rsidR="00D12933" w:rsidRPr="0052694B" w:rsidRDefault="00D12933" w:rsidP="00E2083C">
      <w:pPr>
        <w:pStyle w:val="Textodenotaderodap"/>
        <w:ind w:left="227" w:hanging="227"/>
        <w:jc w:val="both"/>
        <w:rPr>
          <w:rFonts w:ascii="Arial" w:hAnsi="Arial" w:cs="Arial"/>
        </w:rPr>
      </w:pPr>
      <w:r w:rsidRPr="00E2083C">
        <w:rPr>
          <w:rStyle w:val="Refdenotaderodap"/>
          <w:rFonts w:ascii="Arial" w:hAnsi="Arial"/>
          <w:vertAlign w:val="baseline"/>
        </w:rPr>
        <w:footnoteRef/>
      </w:r>
      <w:r w:rsidR="00E2083C">
        <w:t>.</w:t>
      </w:r>
      <w:r>
        <w:t xml:space="preserve"> </w:t>
      </w:r>
      <w:r w:rsidRPr="0052694B">
        <w:rPr>
          <w:rFonts w:ascii="Arial" w:hAnsi="Arial" w:cs="Arial"/>
        </w:rPr>
        <w:t xml:space="preserve">Uma empresa ou uma pessoa física pode ser declarada inelegível para a outorga de um contrato financiado pelo Banco: (i) após a conclusão do processo de sanção conforme os procedimentos do Banco, incluindo, </w:t>
      </w:r>
      <w:proofErr w:type="spellStart"/>
      <w:r w:rsidRPr="0052694B">
        <w:rPr>
          <w:rFonts w:ascii="Arial" w:hAnsi="Arial" w:cs="Arial"/>
          <w:i/>
        </w:rPr>
        <w:t>inter</w:t>
      </w:r>
      <w:proofErr w:type="spellEnd"/>
      <w:r w:rsidRPr="0052694B">
        <w:rPr>
          <w:rFonts w:ascii="Arial" w:hAnsi="Arial" w:cs="Arial"/>
          <w:i/>
        </w:rPr>
        <w:t xml:space="preserve"> alia</w:t>
      </w:r>
      <w:r w:rsidRPr="0052694B">
        <w:rPr>
          <w:rFonts w:ascii="Arial" w:hAnsi="Arial" w:cs="Arial"/>
        </w:rPr>
        <w:t>, impedimento “cruzado”, conforme acordado com outras Instituições Financeiras Internacionais, como Bancos Multilaterais de Desenvolvimento e através da aplicação de procedimentos de sanção por fraude e corrupção em licitações corporativas do Grupo Banco Mundial, e (</w:t>
      </w:r>
      <w:proofErr w:type="spellStart"/>
      <w:proofErr w:type="gramStart"/>
      <w:r w:rsidRPr="0052694B">
        <w:rPr>
          <w:rFonts w:ascii="Arial" w:hAnsi="Arial" w:cs="Arial"/>
        </w:rPr>
        <w:t>ii</w:t>
      </w:r>
      <w:proofErr w:type="spellEnd"/>
      <w:proofErr w:type="gramEnd"/>
      <w:r w:rsidRPr="0052694B">
        <w:rPr>
          <w:rFonts w:ascii="Arial" w:hAnsi="Arial" w:cs="Arial"/>
        </w:rPr>
        <w:t xml:space="preserve">) em decorrência de suspensão temporária ou suspensão temporária preventiva em relação a um processo de sanção em trâmite.  </w:t>
      </w:r>
    </w:p>
  </w:footnote>
  <w:footnote w:id="7">
    <w:p w:rsidR="0052694B" w:rsidRDefault="0052694B" w:rsidP="00E2083C">
      <w:pPr>
        <w:pStyle w:val="Textodenotaderodap"/>
        <w:ind w:left="227" w:hanging="227"/>
        <w:jc w:val="both"/>
      </w:pPr>
      <w:r w:rsidRPr="00E2083C">
        <w:rPr>
          <w:rStyle w:val="Refdenotaderodap"/>
          <w:rFonts w:ascii="Arial" w:hAnsi="Arial"/>
          <w:vertAlign w:val="baseline"/>
        </w:rPr>
        <w:footnoteRef/>
      </w:r>
      <w:r w:rsidR="00E2083C">
        <w:t>.</w:t>
      </w:r>
      <w:r>
        <w:t xml:space="preserve"> </w:t>
      </w:r>
      <w:r w:rsidRPr="0052694B">
        <w:rPr>
          <w:rFonts w:ascii="Arial" w:hAnsi="Arial" w:cs="Arial"/>
        </w:rPr>
        <w:t>Um subempreiteiro, consultor, fabricante ou fornecedor ou prestador de serviço nomeado (nomes diferentes podem ser usados dependendo do edital de licitação específico) é aquele que: (i) foi indicado pelo licitante em sua pré-qualificação ou proposta porque traz experiência e conhecimento específicos ou cruciais que permitem ao licitante cumprir as exigências de qualificação para a licitação em tela; ou (</w:t>
      </w:r>
      <w:proofErr w:type="spellStart"/>
      <w:proofErr w:type="gramStart"/>
      <w:r w:rsidRPr="0052694B">
        <w:rPr>
          <w:rFonts w:ascii="Arial" w:hAnsi="Arial" w:cs="Arial"/>
        </w:rPr>
        <w:t>ii</w:t>
      </w:r>
      <w:proofErr w:type="spellEnd"/>
      <w:proofErr w:type="gramEnd"/>
      <w:r w:rsidRPr="0052694B">
        <w:rPr>
          <w:rFonts w:ascii="Arial" w:hAnsi="Arial" w:cs="Arial"/>
        </w:rPr>
        <w:t>) foi indicado pelo Mutuário.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8E"/>
    <w:rsid w:val="000B6981"/>
    <w:rsid w:val="00206B68"/>
    <w:rsid w:val="004A28F6"/>
    <w:rsid w:val="0052694B"/>
    <w:rsid w:val="00644DB3"/>
    <w:rsid w:val="0069585A"/>
    <w:rsid w:val="00760CA6"/>
    <w:rsid w:val="00962C90"/>
    <w:rsid w:val="009F7A65"/>
    <w:rsid w:val="00D12933"/>
    <w:rsid w:val="00E2083C"/>
    <w:rsid w:val="00F5013A"/>
    <w:rsid w:val="00F60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8E"/>
    <w:pPr>
      <w:suppressAutoHyphens/>
      <w:spacing w:after="0" w:line="240" w:lineRule="auto"/>
    </w:pPr>
    <w:rPr>
      <w:rFonts w:ascii="Times New Roman" w:eastAsia="Times New Roman" w:hAnsi="Times New Roman" w:cs="Times New Roman"/>
      <w:sz w:val="20"/>
      <w:szCs w:val="20"/>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6068E"/>
  </w:style>
  <w:style w:type="character" w:styleId="Hyperlink">
    <w:name w:val="Hyperlink"/>
    <w:rsid w:val="00F6068E"/>
    <w:rPr>
      <w:color w:val="0000FF"/>
      <w:u w:val="single"/>
    </w:rPr>
  </w:style>
  <w:style w:type="paragraph" w:styleId="Corpodetexto">
    <w:name w:val="Body Text"/>
    <w:basedOn w:val="Normal"/>
    <w:link w:val="CorpodetextoChar"/>
    <w:rsid w:val="00F6068E"/>
    <w:pPr>
      <w:spacing w:line="360" w:lineRule="auto"/>
      <w:jc w:val="both"/>
    </w:pPr>
    <w:rPr>
      <w:sz w:val="24"/>
    </w:rPr>
  </w:style>
  <w:style w:type="character" w:customStyle="1" w:styleId="CorpodetextoChar">
    <w:name w:val="Corpo de texto Char"/>
    <w:basedOn w:val="Fontepargpadro"/>
    <w:link w:val="Corpodetexto"/>
    <w:rsid w:val="00F6068E"/>
    <w:rPr>
      <w:rFonts w:ascii="Times New Roman" w:eastAsia="Times New Roman" w:hAnsi="Times New Roman" w:cs="Times New Roman"/>
      <w:sz w:val="24"/>
      <w:szCs w:val="20"/>
      <w:lang w:bidi="pt-BR"/>
    </w:rPr>
  </w:style>
  <w:style w:type="paragraph" w:styleId="Cabealho">
    <w:name w:val="header"/>
    <w:basedOn w:val="Normal"/>
    <w:link w:val="CabealhoChar"/>
    <w:rsid w:val="00F6068E"/>
    <w:pPr>
      <w:tabs>
        <w:tab w:val="center" w:pos="4419"/>
        <w:tab w:val="right" w:pos="8838"/>
      </w:tabs>
    </w:pPr>
    <w:rPr>
      <w:lang w:val="x-none"/>
    </w:rPr>
  </w:style>
  <w:style w:type="character" w:customStyle="1" w:styleId="CabealhoChar">
    <w:name w:val="Cabeçalho Char"/>
    <w:basedOn w:val="Fontepargpadro"/>
    <w:link w:val="Cabealho"/>
    <w:rsid w:val="00F6068E"/>
    <w:rPr>
      <w:rFonts w:ascii="Times New Roman" w:eastAsia="Times New Roman" w:hAnsi="Times New Roman" w:cs="Times New Roman"/>
      <w:sz w:val="20"/>
      <w:szCs w:val="20"/>
      <w:lang w:val="x-none" w:bidi="pt-BR"/>
    </w:rPr>
  </w:style>
  <w:style w:type="paragraph" w:styleId="Rodap">
    <w:name w:val="footer"/>
    <w:basedOn w:val="Normal"/>
    <w:link w:val="RodapChar"/>
    <w:rsid w:val="00F6068E"/>
    <w:pPr>
      <w:tabs>
        <w:tab w:val="center" w:pos="4419"/>
        <w:tab w:val="right" w:pos="8838"/>
      </w:tabs>
    </w:pPr>
  </w:style>
  <w:style w:type="character" w:customStyle="1" w:styleId="RodapChar">
    <w:name w:val="Rodapé Char"/>
    <w:basedOn w:val="Fontepargpadro"/>
    <w:link w:val="Rodap"/>
    <w:rsid w:val="00F6068E"/>
    <w:rPr>
      <w:rFonts w:ascii="Times New Roman" w:eastAsia="Times New Roman" w:hAnsi="Times New Roman" w:cs="Times New Roman"/>
      <w:sz w:val="20"/>
      <w:szCs w:val="20"/>
      <w:lang w:bidi="pt-BR"/>
    </w:rPr>
  </w:style>
  <w:style w:type="paragraph" w:styleId="Sumrio1">
    <w:name w:val="toc 1"/>
    <w:basedOn w:val="Normal"/>
    <w:next w:val="Normal"/>
    <w:rsid w:val="00F6068E"/>
    <w:pPr>
      <w:suppressAutoHyphens w:val="0"/>
      <w:spacing w:line="360" w:lineRule="auto"/>
      <w:jc w:val="both"/>
    </w:pPr>
    <w:rPr>
      <w:rFonts w:ascii="Verdana" w:hAnsi="Verdana"/>
      <w:lang w:eastAsia="ar-SA" w:bidi="ar-SA"/>
    </w:rPr>
  </w:style>
  <w:style w:type="paragraph" w:customStyle="1" w:styleId="Linhahorizontal">
    <w:name w:val="Linha horizontal"/>
    <w:basedOn w:val="Normal"/>
    <w:next w:val="Corpodetexto"/>
    <w:rsid w:val="00F6068E"/>
    <w:pPr>
      <w:widowControl w:val="0"/>
      <w:suppressLineNumbers/>
      <w:pBdr>
        <w:bottom w:val="double" w:sz="1" w:space="0" w:color="808080"/>
      </w:pBdr>
      <w:spacing w:after="283"/>
    </w:pPr>
    <w:rPr>
      <w:rFonts w:eastAsia="Bitstream Vera Sans"/>
      <w:kern w:val="1"/>
      <w:sz w:val="12"/>
      <w:szCs w:val="12"/>
      <w:lang w:bidi="ar-SA"/>
    </w:rPr>
  </w:style>
  <w:style w:type="paragraph" w:customStyle="1" w:styleId="Default">
    <w:name w:val="Default"/>
    <w:rsid w:val="00F6068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206B68"/>
  </w:style>
  <w:style w:type="character" w:customStyle="1" w:styleId="TextodenotaderodapChar">
    <w:name w:val="Texto de nota de rodapé Char"/>
    <w:basedOn w:val="Fontepargpadro"/>
    <w:link w:val="Textodenotaderodap"/>
    <w:uiPriority w:val="99"/>
    <w:semiHidden/>
    <w:rsid w:val="00206B68"/>
    <w:rPr>
      <w:rFonts w:ascii="Times New Roman" w:eastAsia="Times New Roman" w:hAnsi="Times New Roman" w:cs="Times New Roman"/>
      <w:sz w:val="20"/>
      <w:szCs w:val="20"/>
      <w:lang w:bidi="pt-BR"/>
    </w:rPr>
  </w:style>
  <w:style w:type="character" w:styleId="Refdenotaderodap">
    <w:name w:val="footnote reference"/>
    <w:basedOn w:val="Fontepargpadro"/>
    <w:uiPriority w:val="99"/>
    <w:semiHidden/>
    <w:unhideWhenUsed/>
    <w:rsid w:val="00206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8E"/>
    <w:pPr>
      <w:suppressAutoHyphens/>
      <w:spacing w:after="0" w:line="240" w:lineRule="auto"/>
    </w:pPr>
    <w:rPr>
      <w:rFonts w:ascii="Times New Roman" w:eastAsia="Times New Roman" w:hAnsi="Times New Roman" w:cs="Times New Roman"/>
      <w:sz w:val="20"/>
      <w:szCs w:val="20"/>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F6068E"/>
  </w:style>
  <w:style w:type="character" w:styleId="Hyperlink">
    <w:name w:val="Hyperlink"/>
    <w:rsid w:val="00F6068E"/>
    <w:rPr>
      <w:color w:val="0000FF"/>
      <w:u w:val="single"/>
    </w:rPr>
  </w:style>
  <w:style w:type="paragraph" w:styleId="Corpodetexto">
    <w:name w:val="Body Text"/>
    <w:basedOn w:val="Normal"/>
    <w:link w:val="CorpodetextoChar"/>
    <w:rsid w:val="00F6068E"/>
    <w:pPr>
      <w:spacing w:line="360" w:lineRule="auto"/>
      <w:jc w:val="both"/>
    </w:pPr>
    <w:rPr>
      <w:sz w:val="24"/>
    </w:rPr>
  </w:style>
  <w:style w:type="character" w:customStyle="1" w:styleId="CorpodetextoChar">
    <w:name w:val="Corpo de texto Char"/>
    <w:basedOn w:val="Fontepargpadro"/>
    <w:link w:val="Corpodetexto"/>
    <w:rsid w:val="00F6068E"/>
    <w:rPr>
      <w:rFonts w:ascii="Times New Roman" w:eastAsia="Times New Roman" w:hAnsi="Times New Roman" w:cs="Times New Roman"/>
      <w:sz w:val="24"/>
      <w:szCs w:val="20"/>
      <w:lang w:bidi="pt-BR"/>
    </w:rPr>
  </w:style>
  <w:style w:type="paragraph" w:styleId="Cabealho">
    <w:name w:val="header"/>
    <w:basedOn w:val="Normal"/>
    <w:link w:val="CabealhoChar"/>
    <w:rsid w:val="00F6068E"/>
    <w:pPr>
      <w:tabs>
        <w:tab w:val="center" w:pos="4419"/>
        <w:tab w:val="right" w:pos="8838"/>
      </w:tabs>
    </w:pPr>
    <w:rPr>
      <w:lang w:val="x-none"/>
    </w:rPr>
  </w:style>
  <w:style w:type="character" w:customStyle="1" w:styleId="CabealhoChar">
    <w:name w:val="Cabeçalho Char"/>
    <w:basedOn w:val="Fontepargpadro"/>
    <w:link w:val="Cabealho"/>
    <w:rsid w:val="00F6068E"/>
    <w:rPr>
      <w:rFonts w:ascii="Times New Roman" w:eastAsia="Times New Roman" w:hAnsi="Times New Roman" w:cs="Times New Roman"/>
      <w:sz w:val="20"/>
      <w:szCs w:val="20"/>
      <w:lang w:val="x-none" w:bidi="pt-BR"/>
    </w:rPr>
  </w:style>
  <w:style w:type="paragraph" w:styleId="Rodap">
    <w:name w:val="footer"/>
    <w:basedOn w:val="Normal"/>
    <w:link w:val="RodapChar"/>
    <w:rsid w:val="00F6068E"/>
    <w:pPr>
      <w:tabs>
        <w:tab w:val="center" w:pos="4419"/>
        <w:tab w:val="right" w:pos="8838"/>
      </w:tabs>
    </w:pPr>
  </w:style>
  <w:style w:type="character" w:customStyle="1" w:styleId="RodapChar">
    <w:name w:val="Rodapé Char"/>
    <w:basedOn w:val="Fontepargpadro"/>
    <w:link w:val="Rodap"/>
    <w:rsid w:val="00F6068E"/>
    <w:rPr>
      <w:rFonts w:ascii="Times New Roman" w:eastAsia="Times New Roman" w:hAnsi="Times New Roman" w:cs="Times New Roman"/>
      <w:sz w:val="20"/>
      <w:szCs w:val="20"/>
      <w:lang w:bidi="pt-BR"/>
    </w:rPr>
  </w:style>
  <w:style w:type="paragraph" w:styleId="Sumrio1">
    <w:name w:val="toc 1"/>
    <w:basedOn w:val="Normal"/>
    <w:next w:val="Normal"/>
    <w:rsid w:val="00F6068E"/>
    <w:pPr>
      <w:suppressAutoHyphens w:val="0"/>
      <w:spacing w:line="360" w:lineRule="auto"/>
      <w:jc w:val="both"/>
    </w:pPr>
    <w:rPr>
      <w:rFonts w:ascii="Verdana" w:hAnsi="Verdana"/>
      <w:lang w:eastAsia="ar-SA" w:bidi="ar-SA"/>
    </w:rPr>
  </w:style>
  <w:style w:type="paragraph" w:customStyle="1" w:styleId="Linhahorizontal">
    <w:name w:val="Linha horizontal"/>
    <w:basedOn w:val="Normal"/>
    <w:next w:val="Corpodetexto"/>
    <w:rsid w:val="00F6068E"/>
    <w:pPr>
      <w:widowControl w:val="0"/>
      <w:suppressLineNumbers/>
      <w:pBdr>
        <w:bottom w:val="double" w:sz="1" w:space="0" w:color="808080"/>
      </w:pBdr>
      <w:spacing w:after="283"/>
    </w:pPr>
    <w:rPr>
      <w:rFonts w:eastAsia="Bitstream Vera Sans"/>
      <w:kern w:val="1"/>
      <w:sz w:val="12"/>
      <w:szCs w:val="12"/>
      <w:lang w:bidi="ar-SA"/>
    </w:rPr>
  </w:style>
  <w:style w:type="paragraph" w:customStyle="1" w:styleId="Default">
    <w:name w:val="Default"/>
    <w:rsid w:val="00F6068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206B68"/>
  </w:style>
  <w:style w:type="character" w:customStyle="1" w:styleId="TextodenotaderodapChar">
    <w:name w:val="Texto de nota de rodapé Char"/>
    <w:basedOn w:val="Fontepargpadro"/>
    <w:link w:val="Textodenotaderodap"/>
    <w:uiPriority w:val="99"/>
    <w:semiHidden/>
    <w:rsid w:val="00206B68"/>
    <w:rPr>
      <w:rFonts w:ascii="Times New Roman" w:eastAsia="Times New Roman" w:hAnsi="Times New Roman" w:cs="Times New Roman"/>
      <w:sz w:val="20"/>
      <w:szCs w:val="20"/>
      <w:lang w:bidi="pt-BR"/>
    </w:rPr>
  </w:style>
  <w:style w:type="character" w:styleId="Refdenotaderodap">
    <w:name w:val="footnote reference"/>
    <w:basedOn w:val="Fontepargpadro"/>
    <w:uiPriority w:val="99"/>
    <w:semiHidden/>
    <w:unhideWhenUsed/>
    <w:rsid w:val="0020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E4A8-5139-401D-9FA7-21CCA272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638</Words>
  <Characters>3448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Lucas R. Maciel</cp:lastModifiedBy>
  <cp:revision>10</cp:revision>
  <dcterms:created xsi:type="dcterms:W3CDTF">2014-07-02T19:39:00Z</dcterms:created>
  <dcterms:modified xsi:type="dcterms:W3CDTF">2015-11-17T17:01:00Z</dcterms:modified>
</cp:coreProperties>
</file>